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Лечебное дело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08:19 МСК · База обновлена: 25.07.2026, 07:12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Лечебное дело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Больная 19 лет обратилась в поликлинику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сильные боли в поясничной области справа, учащенное болезненное мочеиспускание, повышение температуры тела до 38-38,5°С с ознобом.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Неделю назад после переохлаждения отметила появление учащенного болезненного мочеиспускания, выделение мутной мочи с неприятным запахом, «тянущих» болей внизу живота. Самостоятельно принимала фитопрепараты без положительного эффекта. 3 дня назад отметила повышение температуры тела до 38,5°С с ознобом, боли в правой поясничной области, в связи с чем самостоятельно два дня назад начала прием левофлоксацина по 500 мг 1 р/сут. В течение последних двух дней температура снизилась до 37,2-37,5°С, уменьшилась интенсивность болей в правой поясничной области.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•</w:t>
        <w:tab/>
        <w:t>Перенесенные заболевания и операции: хронический тонзиллит с обострениями 2-3 раза в год (лечение – самостоятельное).</w:t>
        <w:br/>
        <w:t>•</w:t>
        <w:tab/>
        <w:t>Наследственность: артериальная гипертензия, сахарный диабет у бабушки и деда по материнской линии, у деда по отцовской линии генерализированный атеросклероз, язвенная болезнь двенадцатипертсной кишки.</w:t>
        <w:br/>
        <w:t>•</w:t>
        <w:tab/>
        <w:t>Гинекологический анамнез: беременность – 0, роды – 0. Половая жизнь с 18 лет, один постоянный партнер. Периодически наблюдаются обострения кандидоза половых органов, по поводу которого проводится терапия флуконазолом.</w:t>
        <w:br/>
        <w:t>•</w:t>
        <w:tab/>
        <w:t>Вредные привычки: не курит, алкоголь употребляет редко (несколько раз в месяц) в небольшом количестве.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При осмотре состояние средней тяжести. Температура тела 37,2°С. Рост 172 см, масса тела 62 кг. Кожные покровы чистые, обычной окраски. ЧД 16 в мин. В легких дыхание везикулярное, хрипов нет. Тоны сердца ясные, ритмичные, ритм правильный. ЧСС – 70 уд.в мин., АД – 120/75 мм рт. ст. Живот мягкий, при пальпации чувствительный в надлобковой области. Печень и селезенка перкуторно не увеличены, не пальпируются. Мочеиспускание свободное, болезненное, моча мутная. Почки не пальпируются. Симптом поколачивания по поясничной области положительный справа.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Необходимыми для постановки диагноза лабораторными методами обследования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бактериологическое исследование мочи с определением чувствительности к антибиотикам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проведение преднизолонового теста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мочи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исследование морфологии эритроцитов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биохимический анализ крови; 2 — бактериологическое исследование мочи с определением чувствительности к антибиотикам; 4 — общий анализ мочи; 5 — общий анализ крови</w:t>
      </w:r>
    </w:p>
    <w:p>
      <w:pPr>
        <w:ind w:left="504"/>
      </w:pPr>
      <w:r>
        <w:rPr>
          <w:b w:val="0"/>
          <w:i/>
        </w:rPr>
        <w:t>Определение уровня креатинина с последующим расчетом СКФ, необходимо для оценки функции почек. Может наблюдаться  преходящее нарушение функции почек (повышение уровня креатинина крови и снижение СКФ) на фоне выраженного воспалительного процесса или при развитии осложнений пиелонефрита.  При нарушении функции почек может потребоваться коррекция дозы антибактериального препарата.</w:t>
        <w:br/>
        <w:br/>
        <w:t>Нефрология: национальное руководство + СD / Под ред. Н.А. Мухина. 2009. - 720 с. (Серия "Национальные руководства") - ISBN 978-5-9704-1174-2.</w:t>
        <w:br/>
        <w:br/>
      </w:r>
      <w:hyperlink r:id="rId2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Клинические рекомендации Минздрава России. Острый пиелонефрит, 2024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Позволяет выявить возбудителя заболевания и назначить адекватную антибактериальную терапию.</w:t>
        <w:br/>
        <w:br/>
      </w:r>
      <w:hyperlink r:id="rId24">
        <w:r>
          <w:rPr>
            <w:color w:val="173C49"/>
            <w:u w:val="single"/>
          </w:rPr>
          <w:t>Клинические рекомендации Минздрава России. Острый пиелонефрит, 2024 г.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Общий анализ мочи позволяет выявить наличие белка, изменения мочевого осадка, относительной плотности мочи, высказать суждение о варианте заболевания почек, обосновать дальнейшую тактику обследования.</w:t>
        <w:br/>
        <w:br/>
        <w:t>При подозрении на острый пиелонефрит характерно выявление повышенного количества лейкоцитов и бактериурии. Возможны небольшая протеинурия (до 1 г/сут) и микрогематурия, щелочная реакция мочи.</w:t>
        <w:br/>
        <w:br/>
      </w:r>
      <w:hyperlink r:id="rId24">
        <w:r>
          <w:rPr>
            <w:color w:val="173C49"/>
            <w:u w:val="single"/>
          </w:rPr>
          <w:t>Клинические рекомендации Минздрава России. Острый пиелонефрит, 2024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Нефрология: национальное руководство + СD / Под ред. Н.А. Мухина. 2009. - 720 с. (Серия "Национальные руководства") - ISBN 978-5-9704-1174-2.</w:t>
        <w:br/>
        <w:br/>
      </w:r>
      <w:hyperlink r:id="rId28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Всем пациентам при первичной диагностике острого пиелонефрита рекомендуется выполнение клинического анализа крови для уточнения активности воспалительного процесса; анализ позволит выявить гематологические признаки острого пиелонефрита - нейтрофильный лейкоцитоз со сдвигом формулы влево и повышенную скорость оседания эритроцитов (СОЭ).</w:t>
        <w:br/>
        <w:br/>
      </w:r>
      <w:hyperlink r:id="rId24">
        <w:r>
          <w:rPr>
            <w:color w:val="173C49"/>
            <w:u w:val="single"/>
          </w:rPr>
          <w:t>Клинические рекомендации Минздрава России. Острый пиелонефрит, 2024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Нефрология: национальное руководство + СD / Под ред. Н.А. Мухина. 2009. - 720 с. (Серия "Национальные руководства") - ISBN 978-5-9704-1174-2.</w:t>
        <w:br/>
        <w:br/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Необходимыми для постановки диагноза инструментальными методами обследования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ангиография почечных сосудов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микционная цистография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позитронная эмиссионная томография (ПЭТ)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ретроградная пиелография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экскреторная урография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УЗИ почек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5 — экскреторная урография; 6 — УЗИ почек</w:t>
      </w:r>
    </w:p>
    <w:p>
      <w:pPr>
        <w:ind w:left="504"/>
      </w:pPr>
      <w:r>
        <w:rPr>
          <w:b w:val="0"/>
          <w:i/>
        </w:rPr>
        <w:t>Исследование позволяет исключить врожденные аномалии, наличие камней в почке или  мочеточнике, стриктуры мочеточника  и др. причины обструкции. Может выявляться некоторое запаздывание визуализации и выделения контрастного вещества.</w:t>
        <w:br/>
        <w:br/>
        <w:t>У данной пациентки обнаружено ограничение подвижности правой почки, признаки обструкции мочевых путей отсутствуют</w:t>
        <w:br/>
        <w:br/>
      </w:r>
      <w:hyperlink r:id="rId24">
        <w:r>
          <w:rPr>
            <w:color w:val="173C49"/>
            <w:u w:val="single"/>
          </w:rPr>
          <w:t>Клинические рекомендации Минздрава России. Острый пиелонефрит, 2024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УЗИ почек позволяет уточнить месторасположение обеих почек, их форму, структуру и размеры, а также оценить состояние уродинамики. При остром пиелонефрите плотность почек неравномерно снижена из-за очагового воспаления ткани почек. Снижение подвижности почки в сочетании с её увеличением - важный ультразвуковой признак острого пиелонефрита. Кроме того, может наблюдаться увеличение толщины паренхимы вследствие ее отека. Расширение чашечно-лоханочной системы (ЧЛС) свидетельствует в пользу обструктивного характера заболевания.</w:t>
        <w:br/>
        <w:br/>
        <w:t>У данной больной обнаружено уменьшение подвижности, утолщение паренхимы (отек) и неравномерное снижение эхогенности паренхимы правой почки.</w:t>
        <w:br/>
        <w:br/>
      </w:r>
      <w:hyperlink r:id="rId24">
        <w:r>
          <w:rPr>
            <w:color w:val="173C49"/>
            <w:u w:val="single"/>
          </w:rPr>
          <w:t>Клинические рекомендации Минздрава России. Острый пиелонефрит, 2024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Наиболее вероятным  диагнозом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Острый гломерулонефрит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Острый необструктивный пиелонефрит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Хронический пиелонефрит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Острый геморрагический цистит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Острый необструктивный пиелонефрит</w:t>
      </w:r>
    </w:p>
    <w:p>
      <w:pPr>
        <w:ind w:left="504"/>
      </w:pPr>
      <w:r>
        <w:rPr>
          <w:b w:val="0"/>
          <w:i/>
        </w:rPr>
        <w:t>Диагноз острого необструктивного пиелонефрита установлен на основании жалоб (боли в поясничной области справа, повышение температуры тела, ознобы, болезненное мочеиспускание), данных физикального обследования (положительный симптом поколачивания по поясничной области, лихорадка), данных  лабораторного (лейкоцитурия, бактериурия, лейкоцитоз, ускорение СОЭ) и инструментального  обследований (уменьшение подвижности правой почки при УЗИ и экскреторной урографии, неравномерное снижение эхогенности правой почки при УЗИ, отсутствие признаков  обструкции при УЗИ и экскреторной урографии )</w:t>
        <w:br/>
        <w:br/>
      </w:r>
      <w:hyperlink r:id="rId24">
        <w:r>
          <w:rPr>
            <w:color w:val="173C49"/>
            <w:u w:val="single"/>
          </w:rPr>
          <w:t>Клинические рекомендации Минздрава России. Острый пиелонефрит, 2024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br/>
        <w:br/>
        <w:t>Внутренние болезни : Т. I. : учебник / под ред. Мартынова А. И. , Кобалава Ж. Д. , Моисеева С. В. - Москва : ГЭОТАР-Медиа, 2021</w:t>
        <w:br/>
        <w:br/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Помимо уролога пациентке показана консультация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невролога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инфекциониста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гинеколога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кардиолога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гинеколога</w:t>
      </w:r>
    </w:p>
    <w:p>
      <w:pPr>
        <w:ind w:left="504"/>
      </w:pPr>
      <w:r>
        <w:rPr>
          <w:b w:val="0"/>
          <w:i/>
        </w:rPr>
        <w:t>Исключение воспалительных заболеваний органов малого таза как причины мочевой инфекции.</w:t>
        <w:br/>
        <w:br/>
        <w:t>Нефрология: национальное руководство + СD / Под ред. Н.А. Мухина. 2009. - 720 с. (Серия "Национальные руководства") - ISBN 978-5-9704-1174-2.</w:t>
        <w:br/>
        <w:br/>
      </w:r>
      <w:hyperlink r:id="rId3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Внутренние болезни : учебник : в 2 т. / под ред. А. И. Мартынова, Ж. Д. Кобалава, С. В. Моисеева. - 4-е изд., перераб. - Москва : ГЭОТАР-Медиа, 2021. - Т. I. - 784 с. : ил. - DOI: 10.33029/9704-5886-0-VNB-2021-1-784. - ISBN 978-5-9704-5886-0.</w:t>
        <w:br/>
        <w:br/>
      </w:r>
      <w:hyperlink r:id="rId3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Ультразвуковым признаком обструкции мочевыводящих путей служит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расширение чашечно-лоханочной системы и мочеточника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снижение подвижности почки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снижение эхогенности паренхимы и уплотнение пирамид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повышение эхогенности паренхимы почки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расширение чашечно-лоханочной системы и мочеточника</w:t>
      </w:r>
    </w:p>
    <w:p>
      <w:pPr>
        <w:ind w:left="504"/>
      </w:pPr>
      <w:r>
        <w:rPr>
          <w:b w:val="0"/>
          <w:i/>
        </w:rPr>
        <w:t>При наличии обструкции мочевых путей наблюдается их расширение выше места обструкции.</w:t>
        <w:br/>
        <w:br/>
      </w:r>
      <w:hyperlink r:id="rId24">
        <w:r>
          <w:rPr>
            <w:color w:val="173C49"/>
            <w:u w:val="single"/>
          </w:rPr>
          <w:t>Клинические рекомендации Минздрава России. Острый пиелонефрит, 2024 г.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 случае обнаружения обструкции мочевыводящих путей, перед началом антибактериальной терапии, необходимо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ограничить количество потребляемой жидкости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перевести пациента на постельный режим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восстановить пассаж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назначить низкосолевую диету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восстановить пассаж мочи</w:t>
      </w:r>
    </w:p>
    <w:p>
      <w:pPr>
        <w:ind w:left="504"/>
      </w:pPr>
      <w:r>
        <w:rPr>
          <w:b w:val="0"/>
          <w:i/>
        </w:rPr>
        <w:t>При остром пиелонефрите начало антибактериальной терапии до ликвидации обструкции ассоциировано с повышенным риском развития бактериального шока.</w:t>
        <w:br/>
        <w:br/>
      </w:r>
      <w:hyperlink r:id="rId24">
        <w:r>
          <w:rPr>
            <w:color w:val="173C49"/>
            <w:u w:val="single"/>
          </w:rPr>
          <w:t>Клинические рекомендации Минздрава России. Острый пиелонефрит, 2024 г.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Учитывая отсутствие у пациентки обструкции мочевыводящих путей, сопутствующих заболеваний, улучшение состояния на фоне антибактериальной терапии, тактика ведения заключается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санаторно-курортном лечении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экстренной госпитализации в нефрологический стационар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лечении в амбулаторных условиях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экстренной госпитализации в урологический стационар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лечении в амбулаторных условиях</w:t>
      </w:r>
    </w:p>
    <w:p>
      <w:pPr>
        <w:ind w:left="504"/>
      </w:pPr>
      <w:r>
        <w:rPr>
          <w:b w:val="0"/>
          <w:i/>
        </w:rPr>
        <w:t>У больной острый необструктивный  неосложненный пиелонефрит, функция почек сохранна, лечение может проводиться в амбулаторных условиях.</w:t>
        <w:br/>
        <w:br/>
        <w:t>Нет показаний для экстренной госпитализации.</w:t>
        <w:br/>
        <w:br/>
      </w:r>
      <w:hyperlink r:id="rId24">
        <w:r>
          <w:rPr>
            <w:color w:val="173C49"/>
            <w:u w:val="single"/>
          </w:rPr>
          <w:t>Клинические рекомендации Минздрава России. Острый пиелонефрит, 2024 г.</w:t>
        </w:r>
      </w:hyperlink>
      <w:r>
        <w:rPr>
          <w:b w:val="0"/>
          <w:i/>
        </w:rPr>
        <w:t xml:space="preserve"> </w:t>
      </w:r>
      <w:hyperlink r:id="rId4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Тактика антибактериальной терапии у данной больной предполагает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добавление к терапии ко-тримоксазола внутрь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замену левофлоксацина на цефалоспорин III поколения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назначение фосфомицина 3 г/сут однократно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продолжение терапии левофлоксацином по 500 мг 1 р/сут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продолжение терапии левофлоксацином по 500 мг 1 р/сут</w:t>
      </w:r>
    </w:p>
    <w:p>
      <w:pPr>
        <w:ind w:left="504"/>
      </w:pPr>
      <w:r>
        <w:rPr>
          <w:b w:val="0"/>
          <w:i/>
        </w:rPr>
        <w:t>Пациентке показано проведение этиотропной (антибактериальной) терапии с учетом выявленного возбудителя и его чувствительности к антибиотику. Поскольку возбудитель оказался чувствительным к эпмирически выбранному на амбулаторном этапе левофлоксацину, рекомендуется проводимую антибактериальную терапию продолжить.</w:t>
        <w:br/>
        <w:br/>
      </w:r>
      <w:hyperlink r:id="rId24">
        <w:r>
          <w:rPr>
            <w:color w:val="173C49"/>
            <w:u w:val="single"/>
          </w:rPr>
          <w:t>Клинические рекомендации Минздрава России. Острый пиелонефрит, 2024 г.</w:t>
        </w:r>
      </w:hyperlink>
      <w:r>
        <w:rPr>
          <w:b w:val="0"/>
          <w:i/>
        </w:rPr>
        <w:t xml:space="preserve"> </w:t>
      </w:r>
      <w:hyperlink r:id="rId42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(2)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Продолжительность курса антибактериальной терапии у данной больной составляет _____ дней/день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7-10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3-5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7-10</w:t>
      </w:r>
    </w:p>
    <w:p>
      <w:pPr>
        <w:ind w:left="504"/>
      </w:pPr>
      <w:r>
        <w:rPr>
          <w:b w:val="0"/>
          <w:i/>
        </w:rPr>
        <w:t>Всем пациентам для лечения острого неосложненного пиелонефрита нетяжелого течения в качестве терапии первой линии пероральное назначение фторхинолонов (левофлоксацин*, ципрофлоксацин*) на срок 7–10 дней</w:t>
        <w:br/>
        <w:br/>
      </w:r>
      <w:hyperlink r:id="rId24">
        <w:r>
          <w:rPr>
            <w:color w:val="173C49"/>
            <w:u w:val="single"/>
          </w:rPr>
          <w:t>Клинические рекомендации Минздрава России. Острый пиелонефрит, 2024 г.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К антибактериальным препаратам с нефротоксическим действием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пенициллины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аминогликозиды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фторхинолоны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макролиды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аминогликозиды</w:t>
      </w:r>
    </w:p>
    <w:p>
      <w:pPr>
        <w:ind w:left="504"/>
      </w:pPr>
      <w:r>
        <w:rPr>
          <w:b w:val="0"/>
          <w:i/>
        </w:rPr>
        <w:t>Угнетение функции почек возможно при применении антибактериальных препаратов из групп аминогликозидов, цефалоспоринов, полимиксинов.</w:t>
        <w:br/>
        <w:br/>
        <w:t>Клиническая фармакология : учебник / В. Г. Кукес, Д. А. Сычев [и др. ] ; под ред. В. Г. Кукеса, Д. А. Сычева. - 6-е изд. , испр. и доп. - Москва : ГЭОТАР-Медиа, 2021. - 1024 с. : ил. - 1024 с. - ISBN 978-5-9704-5881</w:t>
        <w:br/>
        <w:br/>
      </w:r>
      <w:hyperlink r:id="rId44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Клинические рекомендации Минздрава России. Острый пиелонефрит, 2024 г.</w:t>
        </w:r>
      </w:hyperlink>
      <w:r>
        <w:rPr>
          <w:b w:val="0"/>
          <w:i/>
        </w:rPr>
        <w:t xml:space="preserve"> </w:t>
      </w:r>
      <w:hyperlink r:id="rId4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Осложнениями острого пиелонефрита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гипергидратация, отек легких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абсцесс почки, карбункул  почки, паранефрит, уросепсис, бактериемический  шок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тромбоз почечных вен, остронефритический синдром, дистресс-синдром взрослых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интерстициальный цистит, уретрит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абсцесс почки, карбункул  почки, паранефрит, уросепсис, бактериемический  шок</w:t>
      </w:r>
    </w:p>
    <w:p>
      <w:pPr>
        <w:ind w:left="504"/>
      </w:pPr>
      <w:r>
        <w:rPr>
          <w:b w:val="0"/>
          <w:i/>
        </w:rPr>
        <w:t>Осложнения острого пиелонефрита  - абсцесс, карбункул почки,  паранефрит, уросепсис,  бактериемический  шок.</w:t>
        <w:br/>
        <w:br/>
        <w:t>Урология : учебник / Под ред. П. В. Глыбочко, Ю. Г. Аляева. — У71 М.:</w:t>
        <w:br/>
        <w:t>Практическая медицина, 2019. — 432 с.: ил. ISBN 978-5-98811-576-2</w:t>
        <w:br/>
        <w:br/>
      </w:r>
      <w:hyperlink r:id="rId4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В составе комплексной терапии острого пиелонефрита всем пациентам рекомендуется применение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диеты с ограничением соли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мочегонных сборов, отваров (морсов) с антисептическими свойствами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витаминно-минеральных комплексов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диеты с ограничением белка до 0,6 г/кг/масс тела в сутки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мочегонных сборов, отваров (морсов) с антисептическими свойствами</w:t>
      </w:r>
    </w:p>
    <w:p>
      <w:pPr>
        <w:ind w:left="504"/>
      </w:pPr>
      <w:r>
        <w:rPr>
          <w:b w:val="0"/>
          <w:i/>
        </w:rPr>
        <w:t>Рекомендуется всем пациентам с острым пиелонефритом применение мочегонных сборов, отваров (морсов) с антисептическими свойствами для усиления противовоспалительного и антибактериального эффекта в составе комплексной терапии.</w:t>
        <w:br/>
        <w:br/>
      </w:r>
      <w:hyperlink r:id="rId24">
        <w:r>
          <w:rPr>
            <w:color w:val="173C49"/>
            <w:u w:val="single"/>
          </w:rPr>
          <w:t>Клинические рекомендации Минздрава России. Острый пиелонефрит, 2024 г.</w:t>
        </w:r>
      </w:hyperlink>
      <w:r>
        <w:rPr>
          <w:b w:val="0"/>
          <w:i/>
        </w:rPr>
        <w:t xml:space="preserve"> </w:t>
      </w:r>
      <w:hyperlink r:id="rId47">
        <w:r>
          <w:rPr>
            <w:color w:val="173C49"/>
            <w:u w:val="single"/>
          </w:rPr>
          <w:t>(1)</w:t>
        </w:r>
      </w:hyperlink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Лечебное дело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 С. 54 лет обратился к кардиологу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внезапно возникший эпизод учащенного ритмичного сердцебиения, сопровождающийся головокружением, слабостью.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 течение последних 2-3 лет беспокоят эпизоды перебоев в работе сердца длительностью несколько минут, купирующиеся самостоятельно, по поводу чего не обследовался, лекарственных препаратов не принимал. Повышение АД  более 140/90 мм рт ст. отрицает.</w:t>
      </w:r>
    </w:p>
    <w:p>
      <w:pPr>
        <w:spacing w:after="58"/>
      </w:pPr>
      <w:r>
        <w:rPr>
          <w:b w:val="0"/>
          <w:i w:val="0"/>
        </w:rPr>
        <w:t>Ухудшение самочувствия за последние 2 часа, когда возникли вышеуказанные жалобы.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Работает начальником отдела кадров.</w:t>
        <w:br/>
        <w:t>* Перенесённые заболевания: острое нарушение мозгового кровообращения 2 года назад диагностированное по результатам МРТ головного мозга, сохраняется слабость в левой руке.</w:t>
        <w:br/>
        <w:t>* Наследственность: мама 78 лет – относительно здорова , отец 80 лет – гипертоническая болезнь.</w:t>
        <w:br/>
        <w:t>* Аллергоанамнез: не отягощен.</w:t>
        <w:br/>
        <w:t>* Вредные привычки: курит по ¼ пачки в день – 20 лет, алкоголем не злоупотребляет.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При осмотре кожные покровы обычной влажности и цвета. В легких хрипов нет, дыхание везикулярное, ЧДД 16 в минуту. Тоны сердца ясные, ритмичные, ЧСС около 100 в минуту, АД 90/60 мм рт. ст. Живот мягкий, безболезненный при пальпации. Печень по краю реберной дуги. Отеков нет.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Необходимыми лабораторными методами обследования для постановки диагноза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общий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уровня тиреотропных гормонов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определение уровня метанефринов в суточной моче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определение уровня тиреотропных гормонов</w:t>
      </w:r>
    </w:p>
    <w:p>
      <w:pPr>
        <w:ind w:left="504"/>
      </w:pPr>
      <w:r>
        <w:rPr>
          <w:b w:val="0"/>
          <w:i/>
        </w:rPr>
        <w:t>Гипертиреоз относится к наиболее частым внесердечным причинами возникновения ФП.</w:t>
        <w:br/>
        <w:br/>
      </w:r>
      <w:hyperlink r:id="rId48">
        <w:r>
          <w:rPr>
            <w:color w:val="173C49"/>
            <w:u w:val="single"/>
          </w:rPr>
          <w:t>Клинические рекомендации Минздрава России. Фибрилляция и трепетание предсердий, 2025 г.</w:t>
        </w:r>
      </w:hyperlink>
      <w:r>
        <w:rPr>
          <w:b w:val="0"/>
          <w:i/>
        </w:rPr>
        <w:t xml:space="preserve"> </w:t>
      </w:r>
      <w:hyperlink r:id="rId4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Необходимыми инструментальными методами обследования для верификации нарушения ритма и для выбора дальнейшей тактики лечения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ЭКГ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эхокардиография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рентгенография органов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коронароангиография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эзофагогастродуаденоскопия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ЭКГ; 2 — эхокардиография</w:t>
      </w:r>
    </w:p>
    <w:p>
      <w:pPr>
        <w:ind w:left="504"/>
      </w:pPr>
      <w:r>
        <w:rPr>
          <w:b w:val="0"/>
          <w:i/>
        </w:rPr>
        <w:t>Регистрация ЭКГ в 12-ти отведениях в покое рекомендована пациентам с любыми формами трепетания и ФП.</w:t>
        <w:br/>
        <w:br/>
      </w:r>
      <w:hyperlink r:id="rId48">
        <w:r>
          <w:rPr>
            <w:color w:val="173C49"/>
            <w:u w:val="single"/>
          </w:rPr>
          <w:t>Клинические рекомендации Минздрава России. Фибрилляция и трепетание предсердий, 2025 г.</w:t>
        </w:r>
      </w:hyperlink>
      <w:r>
        <w:rPr>
          <w:b w:val="0"/>
          <w:i/>
        </w:rPr>
        <w:t xml:space="preserve"> </w:t>
      </w:r>
      <w:hyperlink r:id="rId50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Эхокардиографическое исследование сердца рекомендовано всем больным ФП для оценки наличия признаков структурного поражения миокарда и клапанов сердца.</w:t>
        <w:br/>
        <w:br/>
      </w:r>
      <w:hyperlink r:id="rId48">
        <w:r>
          <w:rPr>
            <w:color w:val="173C49"/>
            <w:u w:val="single"/>
          </w:rPr>
          <w:t>Клинические рекомендации Минздрава России. Фибрилляция и трепетание предсердий, 2025 г.</w:t>
        </w:r>
      </w:hyperlink>
      <w:r>
        <w:rPr>
          <w:b w:val="0"/>
          <w:i/>
        </w:rPr>
        <w:t xml:space="preserve"> </w:t>
      </w:r>
      <w:hyperlink r:id="rId51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 основании данных анамнеза, жалоб и результатов инструментальной диагностики можно диагностировать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АВ-узловую реципрокную тахикардию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Трепетание предсердий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Наджелудочковую экстрасистолию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Фибрилляцию предсердий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Трепетание предсердий</w:t>
      </w:r>
    </w:p>
    <w:p>
      <w:pPr>
        <w:ind w:left="504"/>
      </w:pPr>
      <w:r>
        <w:rPr>
          <w:b w:val="0"/>
          <w:i/>
        </w:rPr>
        <w:t>Диагноз устанавливается на основании жалоб на учащенное ритмичное сердцебиение, возникшее внезапно, результатов ЭКГ.</w:t>
        <w:br/>
        <w:br/>
        <w:t>Для ТП характерными ЭКГ-критериями являются: Регулярный предсердный ритм (волны F с циклом менее 240 мс) с частотой 250-350 в минуту при одинаковых или изменяющихся интервалах RR. Наличие волн F, имеющих при типичном ТП вид «пилообразной» кривой, особенно отчетливо видных в нижних отведениях (II, III, aVF).</w:t>
        <w:br/>
        <w:br/>
      </w:r>
      <w:hyperlink r:id="rId48">
        <w:r>
          <w:rPr>
            <w:color w:val="173C49"/>
            <w:u w:val="single"/>
          </w:rPr>
          <w:t>Клинические рекомендации Минздрава России. Фибрилляция и трепетание предсердий, 2025 г.</w:t>
        </w:r>
      </w:hyperlink>
      <w:r>
        <w:rPr>
          <w:b w:val="0"/>
          <w:i/>
        </w:rPr>
        <w:t xml:space="preserve"> </w:t>
      </w:r>
      <w:hyperlink r:id="rId5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Диагноз ставится на основании ЭКГ признаков наличия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наличия Р зубцов перед QRS, PR&lt;RP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нерегулярных волн f различной морфологии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наличия зубца Р после комплекса QRS, PR˃RP, RP менее 70 мсек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регулярных волн f «пилообразной» формы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регулярных волн f «пилообразной» формы</w:t>
      </w:r>
    </w:p>
    <w:p>
      <w:pPr>
        <w:ind w:left="504"/>
      </w:pPr>
      <w:r>
        <w:rPr>
          <w:b w:val="0"/>
          <w:i/>
        </w:rPr>
        <w:t>Для ТП характерными ЭКГ-критериями являются: Регулярный предсердный ритм (волны F с циклом менее 240 мс) с частотой 250-350 в минуту при одинаковых или изменяющихся интервалах RR. Наличие волн F, имеющих при типичном ТП вид «пилообразной» кривой, особенно отчетливо видных в нижних отведениях (II, III, aVF).</w:t>
        <w:br/>
        <w:br/>
      </w:r>
      <w:hyperlink r:id="rId48">
        <w:r>
          <w:rPr>
            <w:color w:val="173C49"/>
            <w:u w:val="single"/>
          </w:rPr>
          <w:t>Клинические рекомендации Минздрава России. Фибрилляция и трепетание предсердий, 2025 г.</w:t>
        </w:r>
      </w:hyperlink>
      <w:r>
        <w:rPr>
          <w:b w:val="0"/>
          <w:i/>
        </w:rPr>
        <w:t xml:space="preserve"> </w:t>
      </w:r>
      <w:hyperlink r:id="rId5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У данного пациента трепетание предсердий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персистирующее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пароксизмальное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впервые диагностированное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постоянное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впервые диагностированное</w:t>
      </w:r>
    </w:p>
    <w:p>
      <w:pPr>
        <w:ind w:left="504"/>
      </w:pPr>
      <w:r>
        <w:rPr>
          <w:b w:val="0"/>
          <w:i/>
        </w:rPr>
        <w:t>Впервые диагностированная - ФП/ТП, которая не была диагностирована ранее, независимо от продолжительности аритмии, наличия или тяжести связанных с ней симптомов.</w:t>
        <w:br/>
        <w:br/>
      </w:r>
      <w:hyperlink r:id="rId48">
        <w:r>
          <w:rPr>
            <w:color w:val="173C49"/>
            <w:u w:val="single"/>
          </w:rPr>
          <w:t>Клинические рекомендации Минздрава России. Фибрилляция и трепетание предсердий, 2025 г.</w:t>
        </w:r>
      </w:hyperlink>
      <w:r>
        <w:rPr>
          <w:b w:val="0"/>
          <w:i/>
        </w:rPr>
        <w:t xml:space="preserve"> </w:t>
      </w:r>
      <w:hyperlink r:id="rId5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У больного количество баллов по  шкале CHA2DS2-VASc составляет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2</w:t>
      </w:r>
    </w:p>
    <w:p>
      <w:pPr>
        <w:ind w:left="504"/>
      </w:pPr>
      <w:r>
        <w:rPr>
          <w:b w:val="0"/>
          <w:i/>
        </w:rPr>
        <w:t>У больного в анамнезе ОНМК 2 года назад, что по шкале CHA2DS2-VASc составляет 2 балла</w:t>
        <w:br/>
        <w:br/>
      </w:r>
      <w:hyperlink r:id="rId48">
        <w:r>
          <w:rPr>
            <w:color w:val="173C49"/>
            <w:u w:val="single"/>
          </w:rPr>
          <w:t>Клинические рекомендации Минздрава России. Фибрилляция и трепетание предсердий, 2025 г.</w:t>
        </w:r>
      </w:hyperlink>
      <w:r>
        <w:rPr>
          <w:b w:val="0"/>
          <w:i/>
        </w:rPr>
        <w:t xml:space="preserve"> </w:t>
      </w:r>
      <w:hyperlink r:id="rId5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Пациенту следует назначить прямой оральный антикоагулянт - ривароксабан в дозе +_____+ мг +_____+ раз в день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10; 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20; 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20; 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10; 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20; 1</w:t>
      </w:r>
    </w:p>
    <w:p>
      <w:pPr>
        <w:ind w:left="504"/>
      </w:pPr>
      <w:r>
        <w:rPr>
          <w:b w:val="0"/>
          <w:i/>
        </w:rPr>
        <w:t>Ривароксабан назначается в дозе 20 мг 1 р/день</w:t>
        <w:br/>
        <w:br/>
      </w:r>
      <w:hyperlink r:id="rId48">
        <w:r>
          <w:rPr>
            <w:color w:val="173C49"/>
            <w:u w:val="single"/>
          </w:rPr>
          <w:t>Клинические рекомендации Минздрава России. Фибрилляция и трепетание предсердий, 2025 г.</w:t>
        </w:r>
      </w:hyperlink>
      <w:r>
        <w:rPr>
          <w:b w:val="0"/>
          <w:i/>
        </w:rPr>
        <w:t xml:space="preserve"> </w:t>
      </w:r>
      <w:hyperlink r:id="rId5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Для купирования аритмии пациенту назначен амиодарон по схеме внутривенно в дозе +_____+ мг/кг в течение 1 ч, затем возможна продлённая инфузия вплоть до максимальной дозы - +_____+ мг в сутки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10; 3600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5; 1200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50; 2400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1; 150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5; 1200</w:t>
      </w:r>
    </w:p>
    <w:p>
      <w:pPr>
        <w:ind w:left="504"/>
      </w:pPr>
      <w:r>
        <w:rPr>
          <w:b w:val="0"/>
          <w:i/>
        </w:rPr>
        <w:t>Амиодарон назначают в/в, разведение в 5% растворе декстрозы 250 мл, предпочтительно через центральный венозный катетер с использованием инфузомата в дозе 5 мг/кг в течение 0,3-2 ч. Затем продлённая инфузия вплоть до максимальной дозы - 1200 мг в сутки.</w:t>
        <w:br/>
        <w:br/>
      </w:r>
      <w:hyperlink r:id="rId48">
        <w:r>
          <w:rPr>
            <w:color w:val="173C49"/>
            <w:u w:val="single"/>
          </w:rPr>
          <w:t>Клинические рекомендации Минздрава России. Фибрилляция и трепетание предсердий, 2025 г.</w:t>
        </w:r>
      </w:hyperlink>
      <w:r>
        <w:rPr>
          <w:b w:val="0"/>
          <w:i/>
        </w:rPr>
        <w:t xml:space="preserve"> </w:t>
      </w:r>
      <w:hyperlink r:id="rId5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У пациента восстановлен синусовый ритм в течение первых суток лечения, в дальнейшем, для радикального устранения аритмии, пациенту следует рекомендовать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имплантацию двухкамерного ЭКС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катетерную аблацию кавотрикуспидального истмуса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аблацию АВ-соединения и имплантацию однокамерного ЭКС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имплантацию кардиовертера-дефибриллятора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катетерную аблацию кавотрикуспидального истмуса</w:t>
      </w:r>
    </w:p>
    <w:p>
      <w:pPr>
        <w:ind w:left="504"/>
      </w:pPr>
      <w:r>
        <w:rPr>
          <w:b w:val="0"/>
          <w:i/>
        </w:rPr>
        <w:t>Катетерная аблация кавотрикуспидального истмуса позволяет добиваться радикального устранения аритмии у подавляющего большинства (более 90%) пациентов с типичным ТП.</w:t>
        <w:br/>
        <w:br/>
      </w:r>
      <w:hyperlink r:id="rId48">
        <w:r>
          <w:rPr>
            <w:color w:val="173C49"/>
            <w:u w:val="single"/>
          </w:rPr>
          <w:t>Клинические рекомендации Минздрава России. Фибрилляция и трепетание предсердий, 2025 г.</w:t>
        </w:r>
      </w:hyperlink>
      <w:r>
        <w:rPr>
          <w:b w:val="0"/>
          <w:i/>
        </w:rPr>
        <w:t xml:space="preserve"> </w:t>
      </w:r>
      <w:hyperlink r:id="rId57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При назначении прямых оральных антикоагулянтов показан контроль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свертывания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состояния печени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функции почек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имунной системы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функции почек</w:t>
      </w:r>
    </w:p>
    <w:p>
      <w:pPr>
        <w:ind w:left="504"/>
      </w:pPr>
      <w:r>
        <w:rPr>
          <w:b w:val="0"/>
          <w:i/>
        </w:rPr>
        <w:t>КК для определения дозы ПОАК предпочтительно рассчитывать по формуле Кокрофта — Голта в связи с использованием этой методики в крупных исследованиях, оценивавших эффективность и безопасность ПОАК. Опираясь на значение клиренса креатинина, необходимо выбирать оптимальный ПОАК или корректировать его дозу.</w:t>
        <w:br/>
        <w:br/>
      </w:r>
      <w:hyperlink r:id="rId48">
        <w:r>
          <w:rPr>
            <w:color w:val="173C49"/>
            <w:u w:val="single"/>
          </w:rPr>
          <w:t>Клинические рекомендации Минздрава России. Фибрилляция и трепетание предсердий, 2025 г.</w:t>
        </w:r>
      </w:hyperlink>
      <w:r>
        <w:rPr>
          <w:b w:val="0"/>
          <w:i/>
        </w:rPr>
        <w:t xml:space="preserve"> </w:t>
      </w:r>
      <w:hyperlink r:id="rId5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Для оценки рисков крупных кровотечений при назначении антикоагулянтов используется шкала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SINTAX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CHA2DS2-VASc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1" name="Picture 3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HAS-BLED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GRACE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HAS-BLED</w:t>
      </w:r>
    </w:p>
    <w:p>
      <w:pPr>
        <w:ind w:left="504"/>
      </w:pPr>
      <w:r>
        <w:rPr>
          <w:b w:val="0"/>
          <w:i/>
        </w:rPr>
        <w:t>Для оценки риска кровотечений предложено использовать несколько шкал, наибольшее распространение имеет шкала HAS-BLED.</w:t>
        <w:br/>
        <w:br/>
      </w:r>
      <w:hyperlink r:id="rId48">
        <w:r>
          <w:rPr>
            <w:color w:val="173C49"/>
            <w:u w:val="single"/>
          </w:rPr>
          <w:t>Клинические рекомендации Минздрава России. Фибрилляция и трепетание предсердий, 2025 г.</w:t>
        </w:r>
      </w:hyperlink>
      <w:r>
        <w:rPr>
          <w:b w:val="0"/>
          <w:i/>
        </w:rPr>
        <w:t xml:space="preserve"> </w:t>
      </w:r>
      <w:hyperlink r:id="rId5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Профилактика тромбоэмболических осложнений при клапанном трепетании предсердий возможна только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2" name="Picture 3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антагонистами витамина 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ривароксабаном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аспирином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апиксабаном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антагонистами витамина К</w:t>
      </w:r>
    </w:p>
    <w:p>
      <w:pPr>
        <w:ind w:left="504"/>
      </w:pPr>
      <w:r>
        <w:rPr>
          <w:b w:val="0"/>
          <w:i/>
        </w:rPr>
        <w:t>Пациентам с ФП и митральным стенозом умеренной или тяжелой степени, либо с механическим протезом клапана сердца с целью профилактики ТЭО рекомендованы только АВК.</w:t>
        <w:br/>
        <w:br/>
      </w:r>
      <w:hyperlink r:id="rId48">
        <w:r>
          <w:rPr>
            <w:color w:val="173C49"/>
            <w:u w:val="single"/>
          </w:rPr>
          <w:t>Клинические рекомендации Минздрава России. Фибрилляция и трепетание предсердий, 2025 г.</w:t>
        </w:r>
      </w:hyperlink>
      <w:r>
        <w:rPr>
          <w:b w:val="0"/>
          <w:i/>
        </w:rPr>
        <w:t xml:space="preserve"> </w:t>
      </w:r>
      <w:hyperlink r:id="rId60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Лечебное дело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hyperlink" Target="https://library.mededtech.ru/rest/documents/ISBN9785970411742/?anchor=paragraph_t270c7#paragraph_t270c7" TargetMode="External"/><Relationship Id="rId24" Type="http://schemas.openxmlformats.org/officeDocument/2006/relationships/hyperlink" Target="https://library.mededtech.ru/rest/documents/9_3/" TargetMode="External"/><Relationship Id="rId25" Type="http://schemas.openxmlformats.org/officeDocument/2006/relationships/hyperlink" Target="https://library.mededtech.ru/rest/documents/9_3/#list_item_s7sqo9" TargetMode="External"/><Relationship Id="rId26" Type="http://schemas.openxmlformats.org/officeDocument/2006/relationships/hyperlink" Target="https://library.mededtech.ru/rest/documents/9_3/#list_item_gb2kl7" TargetMode="External"/><Relationship Id="rId27" Type="http://schemas.openxmlformats.org/officeDocument/2006/relationships/hyperlink" Target="https://library.mededtech.ru/rest/documents/9_3/#list_item_79crqq" TargetMode="External"/><Relationship Id="rId28" Type="http://schemas.openxmlformats.org/officeDocument/2006/relationships/hyperlink" Target="https://library.mededtech.ru/rest/documents/ISBN9785970411742/?anchor=paragraph_5qrt0c#paragraph_5qrt0c" TargetMode="External"/><Relationship Id="rId29" Type="http://schemas.openxmlformats.org/officeDocument/2006/relationships/hyperlink" Target="https://library.mededtech.ru/rest/documents/ISBN9785970411742/?anchor=paragraph_r3ht2j#paragraph_r3ht2j" TargetMode="External"/><Relationship Id="rId30" Type="http://schemas.openxmlformats.org/officeDocument/2006/relationships/image" Target="media/image8.png"/><Relationship Id="rId31" Type="http://schemas.openxmlformats.org/officeDocument/2006/relationships/hyperlink" Target="https://library.mededtech.ru/rest/documents/9_3/#list_item_ep5opj" TargetMode="External"/><Relationship Id="rId32" Type="http://schemas.openxmlformats.org/officeDocument/2006/relationships/hyperlink" Target="https://library.mededtech.ru/rest/documents/9_3/#list_item_do7utr" TargetMode="External"/><Relationship Id="rId33" Type="http://schemas.openxmlformats.org/officeDocument/2006/relationships/hyperlink" Target="https://library.mededtech.ru/rest/documents/9_3/#paragraph_5jak6k" TargetMode="External"/><Relationship Id="rId34" Type="http://schemas.openxmlformats.org/officeDocument/2006/relationships/hyperlink" Target="https://library.mededtech.ru/rest/documents/9_3/#paragraph_sg6td9" TargetMode="External"/><Relationship Id="rId35" Type="http://schemas.openxmlformats.org/officeDocument/2006/relationships/hyperlink" Target="https://library.mededtech.ru/rest/documents/ISBN9785970458860/?anchor=paragraph_4airjh#paragraph_4airjh" TargetMode="External"/><Relationship Id="rId36" Type="http://schemas.openxmlformats.org/officeDocument/2006/relationships/image" Target="media/image9.png"/><Relationship Id="rId37" Type="http://schemas.openxmlformats.org/officeDocument/2006/relationships/hyperlink" Target="https://library.mededtech.ru/rest/documents/ISBN9785970411742/?anchor=paragraph_ti964q#paragraph_ti964q" TargetMode="External"/><Relationship Id="rId38" Type="http://schemas.openxmlformats.org/officeDocument/2006/relationships/hyperlink" Target="https://library.mededtech.ru/rest/documents/ISBN9785970458860/?anchor=paragraph_i0js7f#paragraph_i0js7f" TargetMode="External"/><Relationship Id="rId39" Type="http://schemas.openxmlformats.org/officeDocument/2006/relationships/hyperlink" Target="https://library.mededtech.ru/rest/documents/9_3/#paragraph_db8jfk" TargetMode="External"/><Relationship Id="rId40" Type="http://schemas.openxmlformats.org/officeDocument/2006/relationships/hyperlink" Target="https://library.mededtech.ru/rest/documents/9_3/#list_item_6rudi8" TargetMode="External"/><Relationship Id="rId41" Type="http://schemas.openxmlformats.org/officeDocument/2006/relationships/hyperlink" Target="https://library.mededtech.ru/rest/documents/9_3/#paragraph_2mk1k3" TargetMode="External"/><Relationship Id="rId42" Type="http://schemas.openxmlformats.org/officeDocument/2006/relationships/hyperlink" Target="https://library.mededtech.ru/rest/documents/9_3/#list_item_kefv7l" TargetMode="External"/><Relationship Id="rId43" Type="http://schemas.openxmlformats.org/officeDocument/2006/relationships/hyperlink" Target="https://library.mededtech.ru/rest/documents/9_3/#list_item_bj2o0a" TargetMode="External"/><Relationship Id="rId44" Type="http://schemas.openxmlformats.org/officeDocument/2006/relationships/hyperlink" Target="https://library.mededtech.ru/rest/documents/ISBN9785970458815/?anchor=paragraph_4n5p62#paragraph_4n5p62" TargetMode="External"/><Relationship Id="rId45" Type="http://schemas.openxmlformats.org/officeDocument/2006/relationships/hyperlink" Target="https://library.mededtech.ru/rest/documents/9_3/#list_item_ros12j" TargetMode="External"/><Relationship Id="rId46" Type="http://schemas.openxmlformats.org/officeDocument/2006/relationships/hyperlink" Target="https://library.mededtech.ru/rest/documents/762urolog/?anchor=paragraph_g1bfgd#paragraph_g1bfgd" TargetMode="External"/><Relationship Id="rId47" Type="http://schemas.openxmlformats.org/officeDocument/2006/relationships/hyperlink" Target="https://library.mededtech.ru/rest/documents/9_3/#list_item_la3e5b" TargetMode="External"/><Relationship Id="rId48" Type="http://schemas.openxmlformats.org/officeDocument/2006/relationships/hyperlink" Target="https://library.mededtech.ru/rest/documents/KP382_2/" TargetMode="External"/><Relationship Id="rId49" Type="http://schemas.openxmlformats.org/officeDocument/2006/relationships/hyperlink" Target="https://library.mededtech.ru/rest/documents/KP382_2/#list_item_ge1fc6" TargetMode="External"/><Relationship Id="rId50" Type="http://schemas.openxmlformats.org/officeDocument/2006/relationships/hyperlink" Target="https://library.mededtech.ru/rest/documents/KP382_2/#list_item_tsua04" TargetMode="External"/><Relationship Id="rId51" Type="http://schemas.openxmlformats.org/officeDocument/2006/relationships/hyperlink" Target="https://library.mededtech.ru/rest/documents/KP382_2/#list_item_c8i62v" TargetMode="External"/><Relationship Id="rId52" Type="http://schemas.openxmlformats.org/officeDocument/2006/relationships/hyperlink" Target="https://library.mededtech.ru/rest/documents/KP382_2/#paragraph_d37hkn" TargetMode="External"/><Relationship Id="rId53" Type="http://schemas.openxmlformats.org/officeDocument/2006/relationships/hyperlink" Target="https://library.mededtech.ru/rest/documents/KP382_2/#list_item_5e1381" TargetMode="External"/><Relationship Id="rId54" Type="http://schemas.openxmlformats.org/officeDocument/2006/relationships/hyperlink" Target="https://library.mededtech.ru/rest/documents/KP382_2/#table_sf17c2" TargetMode="External"/><Relationship Id="rId55" Type="http://schemas.openxmlformats.org/officeDocument/2006/relationships/hyperlink" Target="https://library.mededtech.ru/rest/documents/KP382_2/#list_item_l6aavl" TargetMode="External"/><Relationship Id="rId56" Type="http://schemas.openxmlformats.org/officeDocument/2006/relationships/hyperlink" Target="https://library.mededtech.ru/rest/documents/KP382_2/#tablep12a3" TargetMode="External"/><Relationship Id="rId57" Type="http://schemas.openxmlformats.org/officeDocument/2006/relationships/hyperlink" Target="https://library.mededtech.ru/rest/documents/KP382_2/#list_item_9evp6s" TargetMode="External"/><Relationship Id="rId58" Type="http://schemas.openxmlformats.org/officeDocument/2006/relationships/hyperlink" Target="https://library.mededtech.ru/rest/documents/KP382_2/#paragraph_rgdbpo" TargetMode="External"/><Relationship Id="rId59" Type="http://schemas.openxmlformats.org/officeDocument/2006/relationships/hyperlink" Target="https://library.mededtech.ru/rest/documents/KP382_2/#paragraph_7d7f7t" TargetMode="External"/><Relationship Id="rId60" Type="http://schemas.openxmlformats.org/officeDocument/2006/relationships/hyperlink" Target="https://library.mededtech.ru/rest/documents/KP382_2/#list_item_1jsd2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